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Distrito Escolar de Sweet Home</w:t>
      </w:r>
    </w:p>
    <w:p>
      <w:pPr>
        <w:jc w:val="center"/>
      </w:pPr>
      <w:r>
        <w:rPr>
          <w:b/>
        </w:rPr>
        <w:t>Informe sobre el cumplimiento de las normas para escuelas públicas</w:t>
      </w:r>
    </w:p>
    <w:p>
      <w:pPr>
        <w:jc w:val="center"/>
      </w:pPr>
      <w:r>
        <w:rPr>
          <w:b/>
        </w:rPr>
        <w:t>Año escolar 2025-26</w:t>
      </w:r>
    </w:p>
    <w:p>
      <w:r>
        <w:t>Antes del 1 de noviembre de cada año, la norma OAR 581-022-2305, Garantías del distrito sobre el cumplimiento de las normas para escuelas públicas, exige que los superintendentes de los distritos escolares informen a su comunidad sobre el estado de cumplimiento del distrito respecto de todas las normas para escuelas públicas primarias y secundarias. Estas normas son adoptadas por la Junta Estatal de Educación y se establecen en el capítulo 581, División 22, de las Reglas Administrativas de Oregón.</w:t>
      </w:r>
    </w:p>
    <w:p>
      <w:r>
        <w:t>La siguiente tabla resume el cumplimiento del Distrito Escolar de Sweet Home de cada uno de los requisitos de las reglas administrativas de Oregón establecidos en la DIVISIÓN 22: NORMAS PARA ESCUELAS PÚBLICAS PRIMARIAS Y SECUNDARIAS durante el año escolar 2025-26. Para cada norma respecto de la cual se informe un incumplimiento, el Distrito Escolar de Sweet Home ha proporcionado una explicación del motivo y un plan de medidas correctivas propuesto para lograr el cumplimiento. Las medidas correctivas deben ser aprobadas por el Departamento de Educación de Oregón (ODE) y completadas por el distrito antes del inicio del año escolar 2027-28.</w:t>
      </w:r>
    </w:p>
    <w:p>
      <w:r>
        <w:t>¿Cuáles son los requisitos de las normas? Para obtener una descripción general de lo que exige cada regla o norma, consulte el resumen «Reglas de un vistazo». Para conocer los requisitos específicos y completos, utilice los enlaces correspondientes a cada norma que aparecen a continuación.</w:t>
      </w:r>
    </w:p>
    <w:p>
      <w:r>
        <w:rPr>
          <w:b/>
          <w:color w:val="0872A2"/>
          <w:sz w:val="26"/>
        </w:rPr>
        <w:t>Categoría: Experiencias de aprendizaje de alta calidad para todos los estudiantes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3240"/>
            <w:shd w:fill="0872A2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N.º y título de la norma</w:t>
            </w:r>
          </w:p>
        </w:tc>
        <w:tc>
          <w:tcPr>
            <w:tcW w:type="dxa" w:w="1728"/>
            <w:shd w:fill="0872A2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Estado</w:t>
            </w:r>
          </w:p>
        </w:tc>
        <w:tc>
          <w:tcPr>
            <w:tcW w:type="dxa" w:w="3240"/>
            <w:shd w:fill="0872A2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Explicación / evidencia</w:t>
            </w:r>
          </w:p>
        </w:tc>
        <w:tc>
          <w:tcPr>
            <w:tcW w:type="dxa" w:w="2808"/>
            <w:shd w:fill="0872A2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Plan de medidas correctivas y cronograma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581-022-2000 Requisitos para obtener el diploma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581-022-2010 Diploma modificado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581-022-2015 Diploma ampliado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581-022-2020 Certificado de asistencia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581-022-2050 Educación sobre sexualidad humana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581-022-2055 Educación profesional y vocacional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581-022-2263 Requisitos de educación física *Grados de primaria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581-022-2263 Requisitos de educación física *Grados intermedios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581-022-2340 Programas de recursos bibliotecarios y multimedia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581-022-2350 Adopción independiente de materiales didácticos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581-022-2355 Adopción de materiales didácticos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581-022-2360 Aplazamiento de la compra de materiales didácticos adoptados por el estado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581-022-2440 Capacitación docente relacionada con la dislexia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581-022-2500 Programas y servicios para estudiantes talentosos y dotados (TAG): secciones (1) y (2), requisitos del plan TAG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581-022-2500 Programas y servicios para estudiantes talentosos y dotados (TAG): secciones (3) y (4), requisitos de enseñanza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581-022-2505 Programas de educación alternativa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</w:tbl>
    <w:p>
      <w:r>
        <w:rPr>
          <w:b/>
          <w:color w:val="006B3E"/>
          <w:sz w:val="26"/>
        </w:rPr>
        <w:t>Categoría: Sistemas educativos coordinados y enfocados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3240"/>
            <w:shd w:fill="006B3E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N.º y título de la norma</w:t>
            </w:r>
          </w:p>
        </w:tc>
        <w:tc>
          <w:tcPr>
            <w:tcW w:type="dxa" w:w="1728"/>
            <w:shd w:fill="006B3E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Estado</w:t>
            </w:r>
          </w:p>
        </w:tc>
        <w:tc>
          <w:tcPr>
            <w:tcW w:type="dxa" w:w="3240"/>
            <w:shd w:fill="006B3E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Explicación / evidencia</w:t>
            </w:r>
          </w:p>
        </w:tc>
        <w:tc>
          <w:tcPr>
            <w:tcW w:type="dxa" w:w="2808"/>
            <w:shd w:fill="006B3E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Plan de medidas correctivas y cronograma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581-022-2025 Opciones para obtener créditos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581-022-2030 Plan de estudios del distrito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581-022-2060 Orientación escolar integral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581-022-2100 Administración de las evaluaciones estatales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581-022-2110 Exención de las evaluaciones estatales para estudiantes con discapacidades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581-022-2115 Evaluación de habilidades esenciales: requisitos para obtener el diploma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Exento hasta el final del año escolar 2027-28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581-022-2115(2) Evaluación de habilidades esenciales: requisito de evaluación local del desempeño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581-022-2120 Evaluaciones de habilidades esenciales para estudiantes que aprenden inglés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Exento hasta el final del año escolar 2027-28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581-022-2250 Plan de mejoramiento del distrito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581-022-2260 Registros e informes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581-022-2265 Informe sobre datos de educación física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581-022-2300 Estandarización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581-022-2305 Garantías del distrito sobre el cumplimiento de las normas para escuelas públicas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581-022-2315 Educación especial para niños con discapacidades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581-022-2320 Tiempo de instrucción obligatorio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581-022-2323 Protección del tiempo de instrucción de los estudiantes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581-022-2325 Identificación de estudiantes con talento académico y altas capacidades intelectuales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581-022-2335 Tamaño diario de las clases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581-022-2400 Personal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581-022-2445 Evaluaciones universales para detectar factores de riesgo de dislexia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</w:tbl>
    <w:p>
      <w:r>
        <w:rPr>
          <w:b/>
          <w:color w:val="BD4A24"/>
          <w:sz w:val="26"/>
        </w:rPr>
        <w:t>Categoría: Colaboradores y comunidades comprometidos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3240"/>
            <w:shd w:fill="BD4A24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N.º y título de la norma</w:t>
            </w:r>
          </w:p>
        </w:tc>
        <w:tc>
          <w:tcPr>
            <w:tcW w:type="dxa" w:w="1728"/>
            <w:shd w:fill="BD4A24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Estado</w:t>
            </w:r>
          </w:p>
        </w:tc>
        <w:tc>
          <w:tcPr>
            <w:tcW w:type="dxa" w:w="3240"/>
            <w:shd w:fill="BD4A24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Explicación / evidencia</w:t>
            </w:r>
          </w:p>
        </w:tc>
        <w:tc>
          <w:tcPr>
            <w:tcW w:type="dxa" w:w="2808"/>
            <w:shd w:fill="BD4A24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Plan de medidas correctivas y cronograma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581-022-2005 Diploma para veteranos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581-022-2255 Criterios para los informes de desempeño de las escuelas y del distrito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581-022-2270 Evaluación individual de estudiantes, mantenimiento de registros y presentación de informes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581-022-2307 Comités asesores de equidad educativa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581-022-2330 Derechos de los padres de estudiantes TAG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581-022-2370 Procedimientos para presentar quejas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</w:tbl>
    <w:p>
      <w:r>
        <w:rPr>
          <w:b/>
          <w:color w:val="8C205A"/>
          <w:sz w:val="26"/>
        </w:rPr>
        <w:t>Categoría: Escuelas seguras e inclusivas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3240"/>
            <w:shd w:fill="8C205A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N.º y título de la norma</w:t>
            </w:r>
          </w:p>
        </w:tc>
        <w:tc>
          <w:tcPr>
            <w:tcW w:type="dxa" w:w="1728"/>
            <w:shd w:fill="8C205A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Estado</w:t>
            </w:r>
          </w:p>
        </w:tc>
        <w:tc>
          <w:tcPr>
            <w:tcW w:type="dxa" w:w="3240"/>
            <w:shd w:fill="8C205A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Explicación / evidencia</w:t>
            </w:r>
          </w:p>
        </w:tc>
        <w:tc>
          <w:tcPr>
            <w:tcW w:type="dxa" w:w="2808"/>
            <w:shd w:fill="8C205A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Plan de medidas correctivas y cronograma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581-022-2045 Plan de prevención e intervención del consumo de sustancias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581-022-2205 Políticas para denunciar el maltrato infantil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581-022-2210 Esteroides anabólicos y sustancias para mejorar el rendimiento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581-022-2215 Seguridad en los deportes escolares: conmociones cerebrales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581-022-2220 Servicios de salud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581-022-2223 Plan de escuelas saludables y seguras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581-022-2225 Planes de emergencia y programas de seguridad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581-022-2230 Planes de gestión del asbesto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581-022-2267 Informe anual sobre restricción física y aislamiento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581-022-2308 Acuerdos celebrados con organizaciones voluntarias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581-022-2310 Igualdad de oportunidades educativas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581-022-2312 Todos los estudiantes pertenecen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581-022-2345 Servicios auxiliares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581-022-2430 Toma de huellas dactilares de personas en puestos que no requieren licencia como docentes, administradores, especialistas de personal o enfermeros escolares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581-022-2510 Plan de prevención del suicidio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581-022-2515 Dignidad menstrual para estudiantes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</w:tbl>
    <w:p>
      <w:r>
        <w:rPr>
          <w:b/>
          <w:color w:val="4A6576"/>
          <w:sz w:val="26"/>
        </w:rPr>
        <w:t>Categoría: Personal comprometido y solidario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3240"/>
            <w:shd w:fill="4A6576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N.º y título de la norma</w:t>
            </w:r>
          </w:p>
        </w:tc>
        <w:tc>
          <w:tcPr>
            <w:tcW w:type="dxa" w:w="1728"/>
            <w:shd w:fill="4A6576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Estado</w:t>
            </w:r>
          </w:p>
        </w:tc>
        <w:tc>
          <w:tcPr>
            <w:tcW w:type="dxa" w:w="3240"/>
            <w:shd w:fill="4A6576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Explicación / evidencia</w:t>
            </w:r>
          </w:p>
        </w:tc>
        <w:tc>
          <w:tcPr>
            <w:tcW w:type="dxa" w:w="2808"/>
            <w:shd w:fill="4A6576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Plan de medidas correctivas y cronograma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581-022-2405 Políticas de personal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581-022-2410 Evaluación y apoyo a docentes y administradores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581-022-2415 Estándares fundamentales de enseñanza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  <w:tr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581-022-2420 Liderazgo educativo: estándares para administradores</w:t>
            </w:r>
          </w:p>
        </w:tc>
        <w:tc>
          <w:tcPr>
            <w:tcW w:type="dxa" w:w="1728"/>
          </w:tcPr>
          <w:p>
            <w:pPr>
              <w:spacing w:after="0"/>
            </w:pPr>
            <w:r>
              <w:rPr>
                <w:sz w:val="16"/>
              </w:rPr>
              <w:t>Cumple con la norma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sz w:val="16"/>
              </w:rPr>
              <w:t>El distrito ha cumplido con todos los requisitos de esta norma.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rPr>
                <w:sz w:val="16"/>
              </w:rPr>
              <w:t>No corresponde</w:t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